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B9" w:rsidRPr="005029B9" w:rsidRDefault="00E351E7">
      <w:pPr>
        <w:rPr>
          <w:rFonts w:ascii="Palatino Linotype" w:hAnsi="Palatino Linotype"/>
          <w:sz w:val="20"/>
          <w:szCs w:val="20"/>
        </w:rPr>
      </w:pPr>
      <w:r>
        <w:rPr>
          <w:rFonts w:ascii="Palatino Linotype" w:hAnsi="Palatino Linotype"/>
          <w:b/>
          <w:sz w:val="28"/>
          <w:szCs w:val="20"/>
          <w:u w:val="single"/>
        </w:rPr>
        <w:t>Biggs’s English II Honors</w:t>
      </w:r>
      <w:r w:rsidR="005029B9" w:rsidRPr="00444A69">
        <w:rPr>
          <w:rFonts w:ascii="Palatino Linotype" w:hAnsi="Palatino Linotype"/>
          <w:b/>
          <w:sz w:val="28"/>
          <w:szCs w:val="20"/>
          <w:u w:val="single"/>
        </w:rPr>
        <w:t xml:space="preserve"> – Essay #3</w:t>
      </w:r>
      <w:r w:rsidR="00444A69" w:rsidRPr="00444A69">
        <w:rPr>
          <w:rFonts w:ascii="Palatino Linotype" w:hAnsi="Palatino Linotype"/>
          <w:b/>
          <w:sz w:val="28"/>
          <w:szCs w:val="20"/>
          <w:u w:val="single"/>
        </w:rPr>
        <w:t>, Short Stories</w:t>
      </w:r>
      <w:r w:rsidR="000A3494">
        <w:rPr>
          <w:rFonts w:ascii="Palatino Linotype" w:hAnsi="Palatino Linotype"/>
          <w:b/>
          <w:sz w:val="28"/>
          <w:szCs w:val="20"/>
          <w:u w:val="single"/>
        </w:rPr>
        <w:t>:</w:t>
      </w:r>
      <w:r w:rsidR="005029B9" w:rsidRPr="00444A69">
        <w:rPr>
          <w:rFonts w:ascii="Palatino Linotype" w:hAnsi="Palatino Linotype"/>
          <w:b/>
          <w:sz w:val="28"/>
          <w:szCs w:val="20"/>
          <w:u w:val="single"/>
        </w:rPr>
        <w:t xml:space="preserve"> </w:t>
      </w:r>
      <w:r w:rsidR="00444A69" w:rsidRPr="00444A69">
        <w:rPr>
          <w:rFonts w:ascii="Palatino Linotype" w:hAnsi="Palatino Linotype"/>
          <w:b/>
          <w:sz w:val="28"/>
          <w:szCs w:val="20"/>
          <w:u w:val="single"/>
        </w:rPr>
        <w:t>Dialectical Synthesis Writing</w:t>
      </w:r>
      <w:r w:rsidR="005029B9" w:rsidRPr="005029B9">
        <w:rPr>
          <w:rFonts w:ascii="Palatino Linotype" w:hAnsi="Palatino Linotype" w:cs="Tahoma"/>
          <w:color w:val="000000"/>
          <w:sz w:val="20"/>
          <w:szCs w:val="20"/>
        </w:rPr>
        <w:br/>
      </w:r>
      <w:r w:rsidR="005029B9" w:rsidRPr="005029B9">
        <w:rPr>
          <w:rFonts w:ascii="Palatino Linotype" w:hAnsi="Palatino Linotype" w:cs="Tahoma"/>
          <w:color w:val="000000"/>
          <w:sz w:val="20"/>
          <w:szCs w:val="20"/>
        </w:rPr>
        <w:br/>
      </w:r>
      <w:proofErr w:type="gramStart"/>
      <w:r w:rsidR="005029B9" w:rsidRPr="00444A69">
        <w:rPr>
          <w:rFonts w:ascii="Palatino Linotype" w:hAnsi="Palatino Linotype" w:cs="Tahoma"/>
          <w:b/>
          <w:color w:val="000000"/>
          <w:szCs w:val="20"/>
        </w:rPr>
        <w:t>This</w:t>
      </w:r>
      <w:proofErr w:type="gramEnd"/>
      <w:r w:rsidR="005029B9" w:rsidRPr="00444A69">
        <w:rPr>
          <w:rFonts w:ascii="Palatino Linotype" w:hAnsi="Palatino Linotype" w:cs="Tahoma"/>
          <w:b/>
          <w:color w:val="000000"/>
          <w:szCs w:val="20"/>
        </w:rPr>
        <w:t xml:space="preserve"> essay is all about juxtaposition (placing two things side-by-side for comparison) and synthesis</w:t>
      </w:r>
      <w:r w:rsidR="005029B9" w:rsidRPr="00444A69">
        <w:rPr>
          <w:rFonts w:ascii="Palatino Linotype" w:hAnsi="Palatino Linotype" w:cs="Tahoma"/>
          <w:color w:val="000000"/>
          <w:szCs w:val="20"/>
        </w:rPr>
        <w:t xml:space="preserve"> </w:t>
      </w:r>
      <w:r w:rsidR="005029B9" w:rsidRPr="00444A69">
        <w:rPr>
          <w:rFonts w:ascii="Palatino Linotype" w:hAnsi="Palatino Linotype" w:cs="Tahoma"/>
          <w:b/>
          <w:color w:val="000000"/>
          <w:szCs w:val="20"/>
        </w:rPr>
        <w:t xml:space="preserve">(integrating two ideas into one larger concept). </w:t>
      </w:r>
      <w:r w:rsidR="005029B9" w:rsidRPr="005029B9">
        <w:rPr>
          <w:rFonts w:ascii="Palatino Linotype" w:hAnsi="Palatino Linotype" w:cs="Tahoma"/>
          <w:color w:val="000000"/>
          <w:sz w:val="20"/>
          <w:szCs w:val="20"/>
        </w:rPr>
        <w:t>In rhetoric, the study of argumentation and composition, this is called a DIALECTICAL approach. “Dialectic</w:t>
      </w:r>
      <w:r w:rsidR="00444A69">
        <w:rPr>
          <w:rFonts w:ascii="Palatino Linotype" w:hAnsi="Palatino Linotype" w:cs="Tahoma"/>
          <w:color w:val="000000"/>
          <w:sz w:val="20"/>
          <w:szCs w:val="20"/>
        </w:rPr>
        <w:t>al</w:t>
      </w:r>
      <w:r w:rsidR="005029B9" w:rsidRPr="005029B9">
        <w:rPr>
          <w:rFonts w:ascii="Palatino Linotype" w:hAnsi="Palatino Linotype" w:cs="Tahoma"/>
          <w:color w:val="000000"/>
          <w:sz w:val="20"/>
          <w:szCs w:val="20"/>
        </w:rPr>
        <w:t>” literally means conversational. In other words, you're not putting two works i</w:t>
      </w:r>
      <w:r w:rsidR="00444A69">
        <w:rPr>
          <w:rFonts w:ascii="Palatino Linotype" w:hAnsi="Palatino Linotype" w:cs="Tahoma"/>
          <w:color w:val="000000"/>
          <w:sz w:val="20"/>
          <w:szCs w:val="20"/>
        </w:rPr>
        <w:t>n competition with each other; y</w:t>
      </w:r>
      <w:r w:rsidR="005029B9" w:rsidRPr="005029B9">
        <w:rPr>
          <w:rFonts w:ascii="Palatino Linotype" w:hAnsi="Palatino Linotype" w:cs="Tahoma"/>
          <w:color w:val="000000"/>
          <w:sz w:val="20"/>
          <w:szCs w:val="20"/>
        </w:rPr>
        <w:t>ou're putting them “in dialogue,” making them “talk” and seeing what each one “says” to</w:t>
      </w:r>
      <w:r w:rsidR="00CB38BB">
        <w:rPr>
          <w:rFonts w:ascii="Palatino Linotype" w:hAnsi="Palatino Linotype" w:cs="Tahoma"/>
          <w:color w:val="000000"/>
          <w:sz w:val="20"/>
          <w:szCs w:val="20"/>
        </w:rPr>
        <w:t xml:space="preserve"> and about</w:t>
      </w:r>
      <w:r w:rsidR="005029B9" w:rsidRPr="005029B9">
        <w:rPr>
          <w:rFonts w:ascii="Palatino Linotype" w:hAnsi="Palatino Linotype" w:cs="Tahoma"/>
          <w:color w:val="000000"/>
          <w:sz w:val="20"/>
          <w:szCs w:val="20"/>
        </w:rPr>
        <w:t xml:space="preserve"> the other.</w:t>
      </w:r>
      <w:r w:rsidR="00CB38BB">
        <w:rPr>
          <w:rFonts w:ascii="Palatino Linotype" w:hAnsi="Palatino Linotype" w:cs="Tahoma"/>
          <w:color w:val="000000"/>
          <w:sz w:val="20"/>
          <w:szCs w:val="20"/>
        </w:rPr>
        <w:t xml:space="preserve"> The emphasis is therefore more on comparing than contrasting, though you will do both in the essay. </w:t>
      </w:r>
      <w:r w:rsidR="005029B9" w:rsidRPr="005029B9">
        <w:rPr>
          <w:rFonts w:ascii="Palatino Linotype" w:hAnsi="Palatino Linotype" w:cs="Tahoma"/>
          <w:color w:val="000000"/>
          <w:sz w:val="20"/>
          <w:szCs w:val="20"/>
        </w:rPr>
        <w:br/>
      </w:r>
      <w:r w:rsidR="005029B9" w:rsidRPr="005029B9">
        <w:rPr>
          <w:rFonts w:ascii="Palatino Linotype" w:hAnsi="Palatino Linotype" w:cs="Tahoma"/>
          <w:color w:val="000000"/>
          <w:sz w:val="20"/>
          <w:szCs w:val="20"/>
        </w:rPr>
        <w:br/>
      </w:r>
      <w:r w:rsidR="005029B9" w:rsidRPr="00444A69">
        <w:rPr>
          <w:rFonts w:ascii="Palatino Linotype" w:hAnsi="Palatino Linotype" w:cs="Tahoma"/>
          <w:b/>
          <w:color w:val="000000"/>
          <w:szCs w:val="20"/>
        </w:rPr>
        <w:t>First, pick two short storie</w:t>
      </w:r>
      <w:r w:rsidR="005029B9" w:rsidRPr="00444A69">
        <w:rPr>
          <w:rFonts w:ascii="Palatino Linotype" w:hAnsi="Palatino Linotype" w:cs="Tahoma"/>
          <w:color w:val="000000"/>
          <w:szCs w:val="20"/>
        </w:rPr>
        <w:t>s, one early and one modern</w:t>
      </w:r>
      <w:r w:rsidR="00CB38BB" w:rsidRPr="00444A69">
        <w:rPr>
          <w:rFonts w:ascii="Palatino Linotype" w:hAnsi="Palatino Linotype" w:cs="Tahoma"/>
          <w:color w:val="000000"/>
          <w:szCs w:val="20"/>
        </w:rPr>
        <w:t>, between which you see some relationship</w:t>
      </w:r>
      <w:r w:rsidR="005029B9" w:rsidRPr="00444A69">
        <w:rPr>
          <w:rFonts w:ascii="Palatino Linotype" w:hAnsi="Palatino Linotype" w:cs="Tahoma"/>
          <w:color w:val="000000"/>
          <w:szCs w:val="20"/>
        </w:rPr>
        <w:t>:</w:t>
      </w:r>
    </w:p>
    <w:tbl>
      <w:tblPr>
        <w:tblStyle w:val="TableGrid"/>
        <w:tblW w:w="0" w:type="auto"/>
        <w:tblLook w:val="04A0"/>
      </w:tblPr>
      <w:tblGrid>
        <w:gridCol w:w="4788"/>
        <w:gridCol w:w="4788"/>
      </w:tblGrid>
      <w:tr w:rsidR="005029B9" w:rsidTr="005029B9">
        <w:tc>
          <w:tcPr>
            <w:tcW w:w="4788" w:type="dxa"/>
          </w:tcPr>
          <w:p w:rsidR="005029B9" w:rsidRPr="005029B9" w:rsidRDefault="005029B9">
            <w:pPr>
              <w:rPr>
                <w:rFonts w:ascii="Palatino Linotype" w:hAnsi="Palatino Linotype"/>
                <w:b/>
                <w:sz w:val="20"/>
                <w:szCs w:val="20"/>
              </w:rPr>
            </w:pPr>
            <w:r w:rsidRPr="005029B9">
              <w:rPr>
                <w:rFonts w:ascii="Palatino Linotype" w:hAnsi="Palatino Linotype"/>
                <w:b/>
                <w:sz w:val="20"/>
                <w:szCs w:val="20"/>
              </w:rPr>
              <w:t>Early</w:t>
            </w:r>
          </w:p>
        </w:tc>
        <w:tc>
          <w:tcPr>
            <w:tcW w:w="4788" w:type="dxa"/>
          </w:tcPr>
          <w:p w:rsidR="005029B9" w:rsidRPr="005029B9" w:rsidRDefault="005029B9">
            <w:pPr>
              <w:rPr>
                <w:rFonts w:ascii="Palatino Linotype" w:hAnsi="Palatino Linotype"/>
                <w:b/>
                <w:sz w:val="20"/>
                <w:szCs w:val="20"/>
              </w:rPr>
            </w:pPr>
            <w:r w:rsidRPr="005029B9">
              <w:rPr>
                <w:rFonts w:ascii="Palatino Linotype" w:hAnsi="Palatino Linotype"/>
                <w:b/>
                <w:sz w:val="20"/>
                <w:szCs w:val="20"/>
              </w:rPr>
              <w:t xml:space="preserve">Modern </w:t>
            </w:r>
          </w:p>
        </w:tc>
      </w:tr>
      <w:tr w:rsidR="005029B9" w:rsidTr="005029B9">
        <w:tc>
          <w:tcPr>
            <w:tcW w:w="4788" w:type="dxa"/>
          </w:tcPr>
          <w:p w:rsidR="005029B9" w:rsidRDefault="005029B9">
            <w:pPr>
              <w:rPr>
                <w:rFonts w:ascii="Palatino Linotype" w:hAnsi="Palatino Linotype"/>
                <w:sz w:val="20"/>
                <w:szCs w:val="20"/>
              </w:rPr>
            </w:pPr>
            <w:r>
              <w:rPr>
                <w:rFonts w:ascii="Palatino Linotype" w:hAnsi="Palatino Linotype"/>
                <w:sz w:val="20"/>
                <w:szCs w:val="20"/>
              </w:rPr>
              <w:t>Poe – Masque of the Red Death</w:t>
            </w:r>
            <w:r>
              <w:rPr>
                <w:rFonts w:ascii="Palatino Linotype" w:hAnsi="Palatino Linotype"/>
                <w:sz w:val="20"/>
                <w:szCs w:val="20"/>
              </w:rPr>
              <w:br/>
              <w:t>Poe – The Oval Portrait</w:t>
            </w:r>
            <w:r>
              <w:rPr>
                <w:rFonts w:ascii="Palatino Linotype" w:hAnsi="Palatino Linotype"/>
                <w:sz w:val="20"/>
                <w:szCs w:val="20"/>
              </w:rPr>
              <w:br/>
              <w:t xml:space="preserve">Irving – Devil and Tom Walker </w:t>
            </w:r>
            <w:r>
              <w:rPr>
                <w:rFonts w:ascii="Palatino Linotype" w:hAnsi="Palatino Linotype"/>
                <w:sz w:val="20"/>
                <w:szCs w:val="20"/>
              </w:rPr>
              <w:br/>
              <w:t>Hawthorne – Dr. Heidegger’s Experiment</w:t>
            </w:r>
          </w:p>
        </w:tc>
        <w:tc>
          <w:tcPr>
            <w:tcW w:w="4788" w:type="dxa"/>
          </w:tcPr>
          <w:p w:rsidR="005029B9" w:rsidRDefault="005029B9">
            <w:pPr>
              <w:rPr>
                <w:rFonts w:ascii="Palatino Linotype" w:hAnsi="Palatino Linotype"/>
                <w:sz w:val="20"/>
                <w:szCs w:val="20"/>
              </w:rPr>
            </w:pPr>
            <w:r>
              <w:rPr>
                <w:rFonts w:ascii="Palatino Linotype" w:hAnsi="Palatino Linotype"/>
                <w:sz w:val="20"/>
                <w:szCs w:val="20"/>
              </w:rPr>
              <w:t xml:space="preserve">U.K </w:t>
            </w:r>
            <w:proofErr w:type="spellStart"/>
            <w:r>
              <w:rPr>
                <w:rFonts w:ascii="Palatino Linotype" w:hAnsi="Palatino Linotype"/>
                <w:sz w:val="20"/>
                <w:szCs w:val="20"/>
              </w:rPr>
              <w:t>LeGuin</w:t>
            </w:r>
            <w:proofErr w:type="spellEnd"/>
            <w:r>
              <w:rPr>
                <w:rFonts w:ascii="Palatino Linotype" w:hAnsi="Palatino Linotype"/>
                <w:sz w:val="20"/>
                <w:szCs w:val="20"/>
              </w:rPr>
              <w:t xml:space="preserve"> – Ones Who Walk Away from </w:t>
            </w:r>
            <w:proofErr w:type="spellStart"/>
            <w:r>
              <w:rPr>
                <w:rFonts w:ascii="Palatino Linotype" w:hAnsi="Palatino Linotype"/>
                <w:sz w:val="20"/>
                <w:szCs w:val="20"/>
              </w:rPr>
              <w:t>Omelas</w:t>
            </w:r>
            <w:proofErr w:type="spellEnd"/>
            <w:r>
              <w:rPr>
                <w:rFonts w:ascii="Palatino Linotype" w:hAnsi="Palatino Linotype"/>
                <w:sz w:val="20"/>
                <w:szCs w:val="20"/>
              </w:rPr>
              <w:br/>
              <w:t>John Updike – A&amp;P</w:t>
            </w:r>
            <w:r>
              <w:rPr>
                <w:rFonts w:ascii="Palatino Linotype" w:hAnsi="Palatino Linotype"/>
                <w:sz w:val="20"/>
                <w:szCs w:val="20"/>
              </w:rPr>
              <w:br/>
              <w:t>Joyce Carol Oates – Where are you Going …</w:t>
            </w:r>
            <w:r>
              <w:rPr>
                <w:rFonts w:ascii="Palatino Linotype" w:hAnsi="Palatino Linotype"/>
                <w:sz w:val="20"/>
                <w:szCs w:val="20"/>
              </w:rPr>
              <w:br/>
              <w:t>Kurt Vonnegut – Harrison Bergeron</w:t>
            </w:r>
          </w:p>
        </w:tc>
      </w:tr>
    </w:tbl>
    <w:p w:rsidR="004F2509" w:rsidRPr="00444A69" w:rsidRDefault="005029B9">
      <w:pPr>
        <w:rPr>
          <w:rFonts w:ascii="Palatino Linotype" w:hAnsi="Palatino Linotype"/>
          <w:i/>
          <w:sz w:val="20"/>
          <w:szCs w:val="20"/>
        </w:rPr>
      </w:pPr>
      <w:r>
        <w:rPr>
          <w:rFonts w:ascii="Palatino Linotype" w:hAnsi="Palatino Linotype"/>
          <w:sz w:val="20"/>
          <w:szCs w:val="20"/>
        </w:rPr>
        <w:br/>
      </w:r>
      <w:r w:rsidR="00F476CF" w:rsidRPr="00444A69">
        <w:rPr>
          <w:rFonts w:ascii="Palatino Linotype" w:hAnsi="Palatino Linotype"/>
          <w:b/>
          <w:szCs w:val="20"/>
        </w:rPr>
        <w:t>Then, beginning from a lens, formulate and answer a question that bridges the two stories together.</w:t>
      </w:r>
      <w:r w:rsidR="00F476CF" w:rsidRPr="00444A69">
        <w:rPr>
          <w:rFonts w:ascii="Palatino Linotype" w:hAnsi="Palatino Linotype"/>
          <w:b/>
          <w:szCs w:val="20"/>
        </w:rPr>
        <w:br/>
        <w:t>(Lenses: Psychoanalytic, Feminist, Sociological, Historical, Religious, Symbolic, Ethical</w:t>
      </w:r>
      <w:r w:rsidR="00444A69">
        <w:rPr>
          <w:rFonts w:ascii="Palatino Linotype" w:hAnsi="Palatino Linotype"/>
          <w:b/>
          <w:szCs w:val="20"/>
        </w:rPr>
        <w:t xml:space="preserve">, </w:t>
      </w:r>
      <w:r w:rsidR="005165DA">
        <w:rPr>
          <w:rFonts w:ascii="Palatino Linotype" w:hAnsi="Palatino Linotype"/>
          <w:b/>
          <w:szCs w:val="20"/>
        </w:rPr>
        <w:t>Romanticist</w:t>
      </w:r>
      <w:r w:rsidR="00F476CF" w:rsidRPr="00444A69">
        <w:rPr>
          <w:rFonts w:ascii="Palatino Linotype" w:hAnsi="Palatino Linotype"/>
          <w:b/>
          <w:szCs w:val="20"/>
        </w:rPr>
        <w:t>)</w:t>
      </w:r>
      <w:r w:rsidR="00F476CF" w:rsidRPr="00444A69">
        <w:rPr>
          <w:rFonts w:ascii="Palatino Linotype" w:hAnsi="Palatino Linotype"/>
          <w:b/>
          <w:szCs w:val="20"/>
        </w:rPr>
        <w:br/>
      </w:r>
      <w:r w:rsidR="00F476CF" w:rsidRPr="00444A69">
        <w:rPr>
          <w:rFonts w:ascii="Palatino Linotype" w:hAnsi="Palatino Linotype"/>
          <w:b/>
          <w:sz w:val="18"/>
          <w:szCs w:val="20"/>
        </w:rPr>
        <w:t>Example for “Masque” and “Bergeron” using Sociological Lens:</w:t>
      </w:r>
      <w:r w:rsidR="00F476CF" w:rsidRPr="00444A69">
        <w:rPr>
          <w:rFonts w:ascii="Palatino Linotype" w:hAnsi="Palatino Linotype"/>
          <w:b/>
          <w:sz w:val="18"/>
          <w:szCs w:val="20"/>
        </w:rPr>
        <w:br/>
      </w:r>
      <w:r w:rsidR="00F476CF" w:rsidRPr="00444A69">
        <w:rPr>
          <w:rFonts w:ascii="Palatino Linotype" w:hAnsi="Palatino Linotype"/>
          <w:b/>
          <w:i/>
          <w:sz w:val="18"/>
          <w:szCs w:val="20"/>
        </w:rPr>
        <w:t>-Question (Focus): Why do humans consistently seek power over each other</w:t>
      </w:r>
      <w:r w:rsidR="00722F0C" w:rsidRPr="00444A69">
        <w:rPr>
          <w:rFonts w:ascii="Palatino Linotype" w:hAnsi="Palatino Linotype"/>
          <w:b/>
          <w:i/>
          <w:sz w:val="18"/>
          <w:szCs w:val="20"/>
        </w:rPr>
        <w:t xml:space="preserve"> and become so corrupt</w:t>
      </w:r>
      <w:r w:rsidR="00F476CF" w:rsidRPr="00444A69">
        <w:rPr>
          <w:rFonts w:ascii="Palatino Linotype" w:hAnsi="Palatino Linotype"/>
          <w:b/>
          <w:i/>
          <w:sz w:val="18"/>
          <w:szCs w:val="20"/>
        </w:rPr>
        <w:t xml:space="preserve">? </w:t>
      </w:r>
      <w:r w:rsidR="00F476CF" w:rsidRPr="00444A69">
        <w:rPr>
          <w:rFonts w:ascii="Palatino Linotype" w:hAnsi="Palatino Linotype"/>
          <w:b/>
          <w:i/>
          <w:sz w:val="18"/>
          <w:szCs w:val="20"/>
        </w:rPr>
        <w:br/>
        <w:t xml:space="preserve">-Answer (Thesis): </w:t>
      </w:r>
      <w:r w:rsidR="00722F0C" w:rsidRPr="00444A69">
        <w:rPr>
          <w:rFonts w:ascii="Palatino Linotype" w:hAnsi="Palatino Linotype"/>
          <w:b/>
          <w:i/>
          <w:sz w:val="18"/>
          <w:szCs w:val="20"/>
        </w:rPr>
        <w:t>Despite</w:t>
      </w:r>
      <w:r w:rsidR="00F476CF" w:rsidRPr="00444A69">
        <w:rPr>
          <w:rFonts w:ascii="Palatino Linotype" w:hAnsi="Palatino Linotype"/>
          <w:b/>
          <w:i/>
          <w:sz w:val="18"/>
          <w:szCs w:val="20"/>
        </w:rPr>
        <w:t xml:space="preserve"> </w:t>
      </w:r>
      <w:r w:rsidR="00722F0C" w:rsidRPr="00444A69">
        <w:rPr>
          <w:rFonts w:ascii="Palatino Linotype" w:hAnsi="Palatino Linotype"/>
          <w:b/>
          <w:i/>
          <w:sz w:val="18"/>
          <w:szCs w:val="20"/>
        </w:rPr>
        <w:t>great differences in tone, Poe’s “Masque…” and Vonnegut’s “</w:t>
      </w:r>
      <w:r w:rsidR="00F476CF" w:rsidRPr="00444A69">
        <w:rPr>
          <w:rFonts w:ascii="Palatino Linotype" w:hAnsi="Palatino Linotype"/>
          <w:b/>
          <w:i/>
          <w:sz w:val="18"/>
          <w:szCs w:val="20"/>
        </w:rPr>
        <w:t>suggest that human beings</w:t>
      </w:r>
      <w:r w:rsidR="00722F0C" w:rsidRPr="00444A69">
        <w:rPr>
          <w:rFonts w:ascii="Palatino Linotype" w:hAnsi="Palatino Linotype"/>
          <w:b/>
          <w:i/>
          <w:sz w:val="18"/>
          <w:szCs w:val="20"/>
        </w:rPr>
        <w:t>’ will to power makes us</w:t>
      </w:r>
      <w:r w:rsidR="00F476CF" w:rsidRPr="00444A69">
        <w:rPr>
          <w:rFonts w:ascii="Palatino Linotype" w:hAnsi="Palatino Linotype"/>
          <w:b/>
          <w:i/>
          <w:sz w:val="18"/>
          <w:szCs w:val="20"/>
        </w:rPr>
        <w:t xml:space="preserve"> incapable of achieving equality, </w:t>
      </w:r>
      <w:r w:rsidR="00722F0C" w:rsidRPr="00444A69">
        <w:rPr>
          <w:rFonts w:ascii="Palatino Linotype" w:hAnsi="Palatino Linotype"/>
          <w:b/>
          <w:i/>
          <w:sz w:val="18"/>
          <w:szCs w:val="20"/>
        </w:rPr>
        <w:t xml:space="preserve">thus </w:t>
      </w:r>
      <w:r w:rsidR="00F476CF" w:rsidRPr="00444A69">
        <w:rPr>
          <w:rFonts w:ascii="Palatino Linotype" w:hAnsi="Palatino Linotype"/>
          <w:b/>
          <w:i/>
          <w:sz w:val="18"/>
          <w:szCs w:val="20"/>
        </w:rPr>
        <w:t>rejecting the Enlightenment’s optimistic faith in rational progress toward perfection.</w:t>
      </w:r>
      <w:r w:rsidR="00CB38BB">
        <w:rPr>
          <w:rFonts w:ascii="Palatino Linotype" w:hAnsi="Palatino Linotype"/>
          <w:b/>
          <w:sz w:val="20"/>
          <w:szCs w:val="20"/>
        </w:rPr>
        <w:br/>
      </w:r>
      <w:r w:rsidR="00CB38BB">
        <w:rPr>
          <w:rFonts w:ascii="Palatino Linotype" w:hAnsi="Palatino Linotype"/>
          <w:b/>
          <w:sz w:val="20"/>
          <w:szCs w:val="20"/>
        </w:rPr>
        <w:br/>
      </w:r>
      <w:r w:rsidR="00CB38BB" w:rsidRPr="00CB38BB">
        <w:rPr>
          <w:rFonts w:ascii="Palatino Linotype" w:hAnsi="Palatino Linotype"/>
          <w:b/>
          <w:sz w:val="20"/>
          <w:szCs w:val="20"/>
        </w:rPr>
        <w:t>You’ll follow this format for the essay</w:t>
      </w:r>
      <w:proofErr w:type="gramStart"/>
      <w:r w:rsidR="00CB38BB" w:rsidRPr="00CB38BB">
        <w:rPr>
          <w:rFonts w:ascii="Palatino Linotype" w:hAnsi="Palatino Linotype"/>
          <w:b/>
          <w:sz w:val="20"/>
          <w:szCs w:val="20"/>
        </w:rPr>
        <w:t>:</w:t>
      </w:r>
      <w:proofErr w:type="gramEnd"/>
      <w:r w:rsidR="00CB38BB">
        <w:rPr>
          <w:rFonts w:ascii="Palatino Linotype" w:hAnsi="Palatino Linotype"/>
          <w:sz w:val="20"/>
          <w:szCs w:val="20"/>
        </w:rPr>
        <w:br/>
        <w:t xml:space="preserve">I. Introduction of the stories – What are they and how do they relate? </w:t>
      </w:r>
      <w:r w:rsidR="00722F0C">
        <w:rPr>
          <w:rFonts w:ascii="Palatino Linotype" w:hAnsi="Palatino Linotype"/>
          <w:sz w:val="20"/>
          <w:szCs w:val="20"/>
        </w:rPr>
        <w:br/>
      </w:r>
      <w:r w:rsidR="00722F0C">
        <w:rPr>
          <w:rFonts w:ascii="Palatino Linotype" w:hAnsi="Palatino Linotype"/>
          <w:i/>
          <w:sz w:val="20"/>
          <w:szCs w:val="20"/>
        </w:rPr>
        <w:t>I could write my intro on Poe and Vonnegut as a master of horror and of humor who share a pessimistic view of human nature that contrasts sharply with the optimism of the Enlightenment. Or, I could discuss human societies’ persistent inequalities, and move from there into the authors as critics of that tendency. Or I could start with Nietzsche and the Will to Power and use that as a way to set up my theme, bringing in the stories at the end</w:t>
      </w:r>
      <w:r w:rsidR="005165DA">
        <w:rPr>
          <w:rFonts w:ascii="Palatino Linotype" w:hAnsi="Palatino Linotype"/>
          <w:i/>
          <w:sz w:val="20"/>
          <w:szCs w:val="20"/>
        </w:rPr>
        <w:t xml:space="preserve"> of the paragraph. </w:t>
      </w:r>
      <w:r w:rsidR="00722F0C">
        <w:rPr>
          <w:rFonts w:ascii="Palatino Linotype" w:hAnsi="Palatino Linotype"/>
          <w:i/>
          <w:sz w:val="20"/>
          <w:szCs w:val="20"/>
        </w:rPr>
        <w:t xml:space="preserve">  </w:t>
      </w:r>
      <w:r w:rsidR="00722F0C">
        <w:rPr>
          <w:rFonts w:ascii="Palatino Linotype" w:hAnsi="Palatino Linotype"/>
          <w:sz w:val="20"/>
          <w:szCs w:val="20"/>
        </w:rPr>
        <w:br/>
      </w:r>
      <w:r w:rsidR="00CB38BB">
        <w:rPr>
          <w:rFonts w:ascii="Palatino Linotype" w:hAnsi="Palatino Linotype"/>
          <w:sz w:val="20"/>
          <w:szCs w:val="20"/>
        </w:rPr>
        <w:br/>
        <w:t xml:space="preserve">II. Story 1 </w:t>
      </w:r>
      <w:proofErr w:type="gramStart"/>
      <w:r w:rsidR="00CB38BB">
        <w:rPr>
          <w:rFonts w:ascii="Palatino Linotype" w:hAnsi="Palatino Linotype"/>
          <w:sz w:val="20"/>
          <w:szCs w:val="20"/>
        </w:rPr>
        <w:t>–  Stylistic</w:t>
      </w:r>
      <w:proofErr w:type="gramEnd"/>
      <w:r w:rsidR="00CB38BB">
        <w:rPr>
          <w:rFonts w:ascii="Palatino Linotype" w:hAnsi="Palatino Linotype"/>
          <w:sz w:val="20"/>
          <w:szCs w:val="20"/>
        </w:rPr>
        <w:t xml:space="preserve"> and Thematic Analysis </w:t>
      </w:r>
      <w:r w:rsidR="00F476CF">
        <w:rPr>
          <w:rFonts w:ascii="Palatino Linotype" w:hAnsi="Palatino Linotype"/>
          <w:sz w:val="20"/>
          <w:szCs w:val="20"/>
        </w:rPr>
        <w:t xml:space="preserve">(Style = Expression, Theme = Content) </w:t>
      </w:r>
      <w:r w:rsidR="00722F0C">
        <w:rPr>
          <w:rFonts w:ascii="Palatino Linotype" w:hAnsi="Palatino Linotype"/>
          <w:sz w:val="20"/>
          <w:szCs w:val="20"/>
        </w:rPr>
        <w:br/>
      </w:r>
      <w:r w:rsidR="00722F0C">
        <w:rPr>
          <w:rFonts w:ascii="Palatino Linotype" w:hAnsi="Palatino Linotype"/>
          <w:i/>
          <w:sz w:val="20"/>
          <w:szCs w:val="20"/>
        </w:rPr>
        <w:t>You should begin with the earlier story. Avoid summary – unless you know otherwise, assume your audience knows at least the basics of the plot. Explain how the author’s use of language impacts the reader (style) so as to make them consider a particular idea</w:t>
      </w:r>
      <w:r w:rsidR="00444A69">
        <w:rPr>
          <w:rFonts w:ascii="Palatino Linotype" w:hAnsi="Palatino Linotype"/>
          <w:i/>
          <w:sz w:val="20"/>
          <w:szCs w:val="20"/>
        </w:rPr>
        <w:t>,</w:t>
      </w:r>
      <w:r w:rsidR="00722F0C">
        <w:rPr>
          <w:rFonts w:ascii="Palatino Linotype" w:hAnsi="Palatino Linotype"/>
          <w:i/>
          <w:sz w:val="20"/>
          <w:szCs w:val="20"/>
        </w:rPr>
        <w:t xml:space="preserve"> moral</w:t>
      </w:r>
      <w:r w:rsidR="00444A69">
        <w:rPr>
          <w:rFonts w:ascii="Palatino Linotype" w:hAnsi="Palatino Linotype"/>
          <w:i/>
          <w:sz w:val="20"/>
          <w:szCs w:val="20"/>
        </w:rPr>
        <w:t xml:space="preserve"> or new concept</w:t>
      </w:r>
      <w:r w:rsidR="00722F0C">
        <w:rPr>
          <w:rFonts w:ascii="Palatino Linotype" w:hAnsi="Palatino Linotype"/>
          <w:i/>
          <w:sz w:val="20"/>
          <w:szCs w:val="20"/>
        </w:rPr>
        <w:t xml:space="preserve"> (theme).</w:t>
      </w:r>
      <w:r w:rsidR="00444A69">
        <w:rPr>
          <w:rFonts w:ascii="Palatino Linotype" w:hAnsi="Palatino Linotype"/>
          <w:i/>
          <w:sz w:val="20"/>
          <w:szCs w:val="20"/>
        </w:rPr>
        <w:t xml:space="preserve"> Talk about both the style and content of your quotations</w:t>
      </w:r>
      <w:r w:rsidR="005165DA">
        <w:rPr>
          <w:rFonts w:ascii="Palatino Linotype" w:hAnsi="Palatino Linotype"/>
          <w:i/>
          <w:sz w:val="20"/>
          <w:szCs w:val="20"/>
        </w:rPr>
        <w:t>, being sure to dissect them a bit.</w:t>
      </w:r>
      <w:r w:rsidR="00722F0C">
        <w:rPr>
          <w:rFonts w:ascii="Palatino Linotype" w:hAnsi="Palatino Linotype"/>
          <w:sz w:val="20"/>
          <w:szCs w:val="20"/>
        </w:rPr>
        <w:br/>
      </w:r>
      <w:r w:rsidR="00CB38BB">
        <w:rPr>
          <w:rFonts w:ascii="Palatino Linotype" w:hAnsi="Palatino Linotype"/>
          <w:sz w:val="20"/>
          <w:szCs w:val="20"/>
        </w:rPr>
        <w:br/>
        <w:t xml:space="preserve">III. Story 2 – Compare/Contrast w. Story 1 </w:t>
      </w:r>
      <w:r w:rsidR="00F476CF">
        <w:rPr>
          <w:rFonts w:ascii="Palatino Linotype" w:hAnsi="Palatino Linotype"/>
          <w:sz w:val="20"/>
          <w:szCs w:val="20"/>
        </w:rPr>
        <w:t>(Stylistic Difference, Thematic Connection</w:t>
      </w:r>
      <w:proofErr w:type="gramStart"/>
      <w:r w:rsidR="00F476CF">
        <w:rPr>
          <w:rFonts w:ascii="Palatino Linotype" w:hAnsi="Palatino Linotype"/>
          <w:sz w:val="20"/>
          <w:szCs w:val="20"/>
        </w:rPr>
        <w:t>)</w:t>
      </w:r>
      <w:proofErr w:type="gramEnd"/>
      <w:r w:rsidR="00722F0C">
        <w:rPr>
          <w:rFonts w:ascii="Palatino Linotype" w:hAnsi="Palatino Linotype"/>
          <w:sz w:val="20"/>
          <w:szCs w:val="20"/>
        </w:rPr>
        <w:br/>
      </w:r>
      <w:r w:rsidR="00444A69">
        <w:rPr>
          <w:rFonts w:ascii="Palatino Linotype" w:hAnsi="Palatino Linotype"/>
          <w:i/>
          <w:sz w:val="20"/>
          <w:szCs w:val="20"/>
        </w:rPr>
        <w:t xml:space="preserve">Bring in the modern story with a topic sentence that establishes its relationship to the first story. Stay focused on this relationship, going back and forth between the two in order to fully connect them. You might refer back to the quotes you used in the paragraph, even re-quoting a small piece as part of a sentence.  </w:t>
      </w:r>
      <w:r w:rsidR="005165DA">
        <w:rPr>
          <w:rFonts w:ascii="Palatino Linotype" w:hAnsi="Palatino Linotype"/>
          <w:i/>
          <w:sz w:val="20"/>
          <w:szCs w:val="20"/>
        </w:rPr>
        <w:t xml:space="preserve">By the end of the paragraph, the connection should be clear. </w:t>
      </w:r>
      <w:r w:rsidR="00722F0C">
        <w:rPr>
          <w:rFonts w:ascii="Palatino Linotype" w:hAnsi="Palatino Linotype"/>
          <w:sz w:val="20"/>
          <w:szCs w:val="20"/>
        </w:rPr>
        <w:br/>
      </w:r>
      <w:r w:rsidR="00CB38BB">
        <w:rPr>
          <w:rFonts w:ascii="Palatino Linotype" w:hAnsi="Palatino Linotype"/>
          <w:sz w:val="20"/>
          <w:szCs w:val="20"/>
        </w:rPr>
        <w:br/>
        <w:t xml:space="preserve">IV. Concluding Synthesis – What </w:t>
      </w:r>
      <w:r w:rsidR="00722F0C">
        <w:rPr>
          <w:rFonts w:ascii="Palatino Linotype" w:hAnsi="Palatino Linotype"/>
          <w:sz w:val="20"/>
          <w:szCs w:val="20"/>
        </w:rPr>
        <w:t xml:space="preserve">interpretation </w:t>
      </w:r>
      <w:r w:rsidR="00CB38BB">
        <w:rPr>
          <w:rFonts w:ascii="Palatino Linotype" w:hAnsi="Palatino Linotype"/>
          <w:sz w:val="20"/>
          <w:szCs w:val="20"/>
        </w:rPr>
        <w:t xml:space="preserve">does </w:t>
      </w:r>
      <w:r w:rsidR="00722F0C">
        <w:rPr>
          <w:rFonts w:ascii="Palatino Linotype" w:hAnsi="Palatino Linotype"/>
          <w:sz w:val="20"/>
          <w:szCs w:val="20"/>
        </w:rPr>
        <w:t xml:space="preserve">your juxtaposition reveal to readers? </w:t>
      </w:r>
      <w:r w:rsidR="00CB38BB">
        <w:rPr>
          <w:rFonts w:ascii="Palatino Linotype" w:hAnsi="Palatino Linotype"/>
          <w:sz w:val="20"/>
          <w:szCs w:val="20"/>
        </w:rPr>
        <w:t xml:space="preserve"> </w:t>
      </w:r>
      <w:r w:rsidR="00444A69">
        <w:rPr>
          <w:rFonts w:ascii="Palatino Linotype" w:hAnsi="Palatino Linotype"/>
          <w:sz w:val="20"/>
          <w:szCs w:val="20"/>
        </w:rPr>
        <w:br/>
      </w:r>
      <w:r w:rsidR="00444A69">
        <w:rPr>
          <w:rFonts w:ascii="Palatino Linotype" w:hAnsi="Palatino Linotype"/>
          <w:i/>
          <w:sz w:val="20"/>
          <w:szCs w:val="20"/>
        </w:rPr>
        <w:t>This paragraph, which is best begun with a sentence that indicates you’re now going to make a larger point encompassin</w:t>
      </w:r>
      <w:r w:rsidR="005165DA">
        <w:rPr>
          <w:rFonts w:ascii="Palatino Linotype" w:hAnsi="Palatino Linotype"/>
          <w:i/>
          <w:sz w:val="20"/>
          <w:szCs w:val="20"/>
        </w:rPr>
        <w:t>g both stories and what that point is. This synthesized interpretation should try to provide a possible answer to your starting</w:t>
      </w:r>
      <w:r w:rsidR="00444A69">
        <w:rPr>
          <w:rFonts w:ascii="Palatino Linotype" w:hAnsi="Palatino Linotype"/>
          <w:i/>
          <w:sz w:val="20"/>
          <w:szCs w:val="20"/>
        </w:rPr>
        <w:t xml:space="preserve"> question. I might explain how the two stories together make the point that equality is both rare and difficult to sustain within the human world</w:t>
      </w:r>
      <w:r w:rsidR="005165DA">
        <w:rPr>
          <w:rFonts w:ascii="Palatino Linotype" w:hAnsi="Palatino Linotype"/>
          <w:i/>
          <w:sz w:val="20"/>
          <w:szCs w:val="20"/>
        </w:rPr>
        <w:t>.</w:t>
      </w:r>
    </w:p>
    <w:sectPr w:rsidR="004F2509" w:rsidRPr="00444A69" w:rsidSect="00444A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29B9"/>
    <w:rsid w:val="000A3494"/>
    <w:rsid w:val="00444A69"/>
    <w:rsid w:val="004834D3"/>
    <w:rsid w:val="005029B9"/>
    <w:rsid w:val="005165DA"/>
    <w:rsid w:val="00722F0C"/>
    <w:rsid w:val="007D726D"/>
    <w:rsid w:val="00C209DB"/>
    <w:rsid w:val="00C715D2"/>
    <w:rsid w:val="00CB38BB"/>
    <w:rsid w:val="00E351E7"/>
    <w:rsid w:val="00ED0F1C"/>
    <w:rsid w:val="00F47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1C39-944E-43B6-B10C-3817EB9E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2</cp:revision>
  <dcterms:created xsi:type="dcterms:W3CDTF">2014-12-15T14:15:00Z</dcterms:created>
  <dcterms:modified xsi:type="dcterms:W3CDTF">2014-12-15T14:15:00Z</dcterms:modified>
</cp:coreProperties>
</file>